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8F" w:rsidRPr="00E01E8F" w:rsidRDefault="00E01E8F" w:rsidP="00E01E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1E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Multidrug resistance protein 2 genetic polymorphism and colorectal cancer recurrence in patients receiving adjuvant FOLFOX-4 chemotherapy</w:t>
      </w:r>
    </w:p>
    <w:p w:rsidR="00E01E8F" w:rsidRPr="00E01E8F" w:rsidRDefault="00E01E8F" w:rsidP="00E01E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E8F" w:rsidRPr="00E01E8F" w:rsidRDefault="00E01E8F" w:rsidP="00E01E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01E8F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bookmarkEnd w:id="0"/>
    <w:p w:rsidR="00E01E8F" w:rsidRPr="00E01E8F" w:rsidRDefault="00E01E8F" w:rsidP="00E01E8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8F">
        <w:rPr>
          <w:rFonts w:ascii="Times New Roman" w:eastAsia="Times New Roman" w:hAnsi="Times New Roman" w:cs="Times New Roman"/>
          <w:sz w:val="24"/>
          <w:szCs w:val="24"/>
        </w:rPr>
        <w:t>Multidrug resistance protein 2 (MRP2), encoded by the ATP-binding cassette C2 (ABCC2) gene, is an efflux pump located on the apical membrane of many polarized cells, which transports conjugate compounds by an ATP-dependent mechanism. The correlation of G1249A ABCC2 polymorphism with the development of colorectal cancer (CRC) and poor prognosis was evaluated in patients who were treated with fluorouracil/</w:t>
      </w:r>
      <w:proofErr w:type="spellStart"/>
      <w:r w:rsidRPr="00E01E8F">
        <w:rPr>
          <w:rFonts w:ascii="Times New Roman" w:eastAsia="Times New Roman" w:hAnsi="Times New Roman" w:cs="Times New Roman"/>
          <w:sz w:val="24"/>
          <w:szCs w:val="24"/>
        </w:rPr>
        <w:t>leucovorin</w:t>
      </w:r>
      <w:proofErr w:type="spellEnd"/>
      <w:r w:rsidRPr="00E01E8F">
        <w:rPr>
          <w:rFonts w:ascii="Times New Roman" w:eastAsia="Times New Roman" w:hAnsi="Times New Roman" w:cs="Times New Roman"/>
          <w:sz w:val="24"/>
          <w:szCs w:val="24"/>
        </w:rPr>
        <w:t xml:space="preserve"> (FL) plus </w:t>
      </w:r>
      <w:proofErr w:type="spellStart"/>
      <w:r w:rsidRPr="00E01E8F">
        <w:rPr>
          <w:rFonts w:ascii="Times New Roman" w:eastAsia="Times New Roman" w:hAnsi="Times New Roman" w:cs="Times New Roman"/>
          <w:sz w:val="24"/>
          <w:szCs w:val="24"/>
        </w:rPr>
        <w:t>oxaliplatin</w:t>
      </w:r>
      <w:proofErr w:type="spellEnd"/>
      <w:r w:rsidRPr="00E01E8F">
        <w:rPr>
          <w:rFonts w:ascii="Times New Roman" w:eastAsia="Times New Roman" w:hAnsi="Times New Roman" w:cs="Times New Roman"/>
          <w:sz w:val="24"/>
          <w:szCs w:val="24"/>
        </w:rPr>
        <w:t xml:space="preserve"> (FOLFOX-4). A total of 50 paraffin embedded tissue samples collected from CRC patients were </w:t>
      </w:r>
      <w:proofErr w:type="spellStart"/>
      <w:r w:rsidRPr="00E01E8F"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 w:rsidRPr="00E01E8F">
        <w:rPr>
          <w:rFonts w:ascii="Times New Roman" w:eastAsia="Times New Roman" w:hAnsi="Times New Roman" w:cs="Times New Roman"/>
          <w:sz w:val="24"/>
          <w:szCs w:val="24"/>
        </w:rPr>
        <w:t xml:space="preserve"> to identify the polymorphism. Patients were in stage II/III and received postoperative FOLFOX-4 chemotherapy. As a control group, an equal number of unrelated healthy subjects were enrolled in the study. The polymorphism was genotyped by the polymerase chain reaction-restriction fragment length polymorphism (PCR-RFLP) method, and results were compared with </w:t>
      </w:r>
      <w:proofErr w:type="spellStart"/>
      <w:r w:rsidRPr="00E01E8F">
        <w:rPr>
          <w:rFonts w:ascii="Times New Roman" w:eastAsia="Times New Roman" w:hAnsi="Times New Roman" w:cs="Times New Roman"/>
          <w:sz w:val="24"/>
          <w:szCs w:val="24"/>
        </w:rPr>
        <w:t>clinicopathological</w:t>
      </w:r>
      <w:proofErr w:type="spellEnd"/>
      <w:r w:rsidRPr="00E01E8F">
        <w:rPr>
          <w:rFonts w:ascii="Times New Roman" w:eastAsia="Times New Roman" w:hAnsi="Times New Roman" w:cs="Times New Roman"/>
          <w:sz w:val="24"/>
          <w:szCs w:val="24"/>
        </w:rPr>
        <w:t xml:space="preserve"> markers, early relapse and survival rates. During the 12 months of follow-up, local and distant recurrences were observed in 15 (30%) patients. No significant difference in the distribution of wild-type and polymorphic genotypes was observed between the patient and control groups and between the patients who experienced recurrence within 1 year and those who did not (all P&gt;0.05). In conclusion, the G1249A polymorphism is not associated with CRC risk and early recurrence. However, significant correlation was observed between G1249A polymorphism and the overall survival and disease-free survival of the patients.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2"/>
        <w:gridCol w:w="7734"/>
      </w:tblGrid>
      <w:tr w:rsidR="00E01E8F" w:rsidRPr="00E01E8F" w:rsidTr="00E01E8F">
        <w:trPr>
          <w:tblCellSpacing w:w="15" w:type="dxa"/>
        </w:trPr>
        <w:tc>
          <w:tcPr>
            <w:tcW w:w="0" w:type="auto"/>
          </w:tcPr>
          <w:p w:rsidR="00E01E8F" w:rsidRPr="00E01E8F" w:rsidRDefault="00E01E8F" w:rsidP="00E01E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01E8F" w:rsidRPr="00E01E8F" w:rsidRDefault="00E01E8F" w:rsidP="00E01E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E8F" w:rsidRPr="00E01E8F" w:rsidTr="00E01E8F">
        <w:trPr>
          <w:tblCellSpacing w:w="15" w:type="dxa"/>
        </w:trPr>
        <w:tc>
          <w:tcPr>
            <w:tcW w:w="0" w:type="auto"/>
            <w:hideMark/>
          </w:tcPr>
          <w:p w:rsidR="00E01E8F" w:rsidRPr="00E01E8F" w:rsidRDefault="00E01E8F" w:rsidP="00E01E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Keyword:</w:t>
            </w:r>
          </w:p>
        </w:tc>
        <w:tc>
          <w:tcPr>
            <w:tcW w:w="0" w:type="auto"/>
            <w:hideMark/>
          </w:tcPr>
          <w:p w:rsidR="00E01E8F" w:rsidRPr="00E01E8F" w:rsidRDefault="00E01E8F" w:rsidP="00E01E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ABCC2/MRP1; Colorectal cancer; G1249A; </w:t>
            </w:r>
            <w:proofErr w:type="spellStart"/>
            <w:r w:rsidRPr="00E01E8F">
              <w:rPr>
                <w:rFonts w:ascii="Times New Roman" w:eastAsia="Times New Roman" w:hAnsi="Times New Roman" w:cs="Times New Roman"/>
                <w:sz w:val="24"/>
                <w:szCs w:val="24"/>
              </w:rPr>
              <w:t>Oxaliplatin</w:t>
            </w:r>
            <w:proofErr w:type="spellEnd"/>
            <w:r w:rsidRPr="00E01E8F">
              <w:rPr>
                <w:rFonts w:ascii="Times New Roman" w:eastAsia="Times New Roman" w:hAnsi="Times New Roman" w:cs="Times New Roman"/>
                <w:sz w:val="24"/>
                <w:szCs w:val="24"/>
              </w:rPr>
              <w:t>; Recurrence; Survival</w:t>
            </w:r>
          </w:p>
        </w:tc>
      </w:tr>
    </w:tbl>
    <w:p w:rsidR="001B1813" w:rsidRPr="00E01E8F" w:rsidRDefault="001B1813" w:rsidP="00E01E8F"/>
    <w:sectPr w:rsidR="001B1813" w:rsidRPr="00E01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3"/>
    <w:rsid w:val="001B1813"/>
    <w:rsid w:val="00394910"/>
    <w:rsid w:val="004814A3"/>
    <w:rsid w:val="00575319"/>
    <w:rsid w:val="005841B5"/>
    <w:rsid w:val="005A2D30"/>
    <w:rsid w:val="005B4DAF"/>
    <w:rsid w:val="00633AEA"/>
    <w:rsid w:val="00900C50"/>
    <w:rsid w:val="009403D9"/>
    <w:rsid w:val="00AF5982"/>
    <w:rsid w:val="00E01E8F"/>
    <w:rsid w:val="00E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</cp:lastModifiedBy>
  <cp:revision>1</cp:revision>
  <cp:lastPrinted>2015-10-07T08:19:00Z</cp:lastPrinted>
  <dcterms:created xsi:type="dcterms:W3CDTF">2015-10-06T23:30:00Z</dcterms:created>
  <dcterms:modified xsi:type="dcterms:W3CDTF">2015-10-07T08:21:00Z</dcterms:modified>
</cp:coreProperties>
</file>