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02" w:rsidRPr="000C6C02" w:rsidRDefault="000C6C02" w:rsidP="000C6C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C6C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The effects of staged intra-articular injection of cultured autologous mesenchymal stromal cells on the repair of damaged cartilage: a pilot study in caprine model</w:t>
      </w:r>
    </w:p>
    <w:p w:rsidR="000C6C02" w:rsidRPr="000C6C02" w:rsidRDefault="000C6C02" w:rsidP="000C6C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0C6C02">
        <w:rPr>
          <w:rFonts w:ascii="Times New Roman" w:eastAsia="Times New Roman" w:hAnsi="Times New Roman" w:cs="Times New Roman"/>
          <w:sz w:val="24"/>
          <w:szCs w:val="24"/>
        </w:rPr>
        <w:t>ABSTRACT</w:t>
      </w:r>
    </w:p>
    <w:bookmarkEnd w:id="0"/>
    <w:p w:rsidR="000C6C02" w:rsidRPr="000C6C02" w:rsidRDefault="000C6C02" w:rsidP="000C6C0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C02">
        <w:rPr>
          <w:rFonts w:ascii="Times New Roman" w:eastAsia="Times New Roman" w:hAnsi="Times New Roman" w:cs="Times New Roman"/>
          <w:sz w:val="24"/>
          <w:szCs w:val="24"/>
        </w:rPr>
        <w:t xml:space="preserve">INTRODUCTION: Treatment of chondral injuries remains a major issue despite the many advances made in cartilage repair techniques. Although it has been postulated that the use of marrow stimulation in combination with cell-based therapy may provide superior outcome, this has yet to be demonstrated. A pilot study was thus conducted to determine if bone marrow derived mesenchymal stromal cells (BM-MSCs) have modulatory effects on the repair outcomes of bone marrow stimulation (BMS) techniques. METHODS: Two full-thickness chondral 5 mm diameter defects were created in tandem on the medial condyle of left stifle joints of 18 Boer caprine (N = 18). Goats were then divided equally into three groups. Simultaneously, bone marrow aspirates were taken from the iliac crests from the goats in Group 1 and were sent for BM-MSC isolation and expansion in vitro. Six weeks later, BMS surgery, which involves subchondral drilling at the defect sites, was performed. After two weeks, the knees in Group 1 were given autologous intra-articular BM-MSCs (N = 6). In Group 2, although BMS was performed there were no supplementations provided. In Group 3, no intervention was administered. The </w:t>
      </w:r>
      <w:proofErr w:type="spellStart"/>
      <w:r w:rsidRPr="000C6C02">
        <w:rPr>
          <w:rFonts w:ascii="Times New Roman" w:eastAsia="Times New Roman" w:hAnsi="Times New Roman" w:cs="Times New Roman"/>
          <w:sz w:val="24"/>
          <w:szCs w:val="24"/>
        </w:rPr>
        <w:t>caprines</w:t>
      </w:r>
      <w:proofErr w:type="spellEnd"/>
      <w:r w:rsidRPr="000C6C02">
        <w:rPr>
          <w:rFonts w:ascii="Times New Roman" w:eastAsia="Times New Roman" w:hAnsi="Times New Roman" w:cs="Times New Roman"/>
          <w:sz w:val="24"/>
          <w:szCs w:val="24"/>
        </w:rPr>
        <w:t xml:space="preserve"> were sacrificed after six months. Repairs were evaluated using macroscopic assessment through the International Cartilage Repair Society (ICRS) scoring, histologic grading by O'Driscoll score, biochemical assays for </w:t>
      </w:r>
      <w:proofErr w:type="spellStart"/>
      <w:r w:rsidRPr="000C6C02">
        <w:rPr>
          <w:rFonts w:ascii="Times New Roman" w:eastAsia="Times New Roman" w:hAnsi="Times New Roman" w:cs="Times New Roman"/>
          <w:sz w:val="24"/>
          <w:szCs w:val="24"/>
        </w:rPr>
        <w:t>glycosaminoglycans</w:t>
      </w:r>
      <w:proofErr w:type="spellEnd"/>
      <w:r w:rsidRPr="000C6C02">
        <w:rPr>
          <w:rFonts w:ascii="Times New Roman" w:eastAsia="Times New Roman" w:hAnsi="Times New Roman" w:cs="Times New Roman"/>
          <w:sz w:val="24"/>
          <w:szCs w:val="24"/>
        </w:rPr>
        <w:t xml:space="preserve"> (GAGs) and gene expressions for </w:t>
      </w:r>
      <w:proofErr w:type="spellStart"/>
      <w:r w:rsidRPr="000C6C02">
        <w:rPr>
          <w:rFonts w:ascii="Times New Roman" w:eastAsia="Times New Roman" w:hAnsi="Times New Roman" w:cs="Times New Roman"/>
          <w:sz w:val="24"/>
          <w:szCs w:val="24"/>
        </w:rPr>
        <w:t>aggrecan</w:t>
      </w:r>
      <w:proofErr w:type="spellEnd"/>
      <w:r w:rsidRPr="000C6C02">
        <w:rPr>
          <w:rFonts w:ascii="Times New Roman" w:eastAsia="Times New Roman" w:hAnsi="Times New Roman" w:cs="Times New Roman"/>
          <w:sz w:val="24"/>
          <w:szCs w:val="24"/>
        </w:rPr>
        <w:t xml:space="preserve">, collagen II and Sox9. RESULTS: Histological and </w:t>
      </w:r>
      <w:proofErr w:type="spellStart"/>
      <w:r w:rsidRPr="000C6C02">
        <w:rPr>
          <w:rFonts w:ascii="Times New Roman" w:eastAsia="Times New Roman" w:hAnsi="Times New Roman" w:cs="Times New Roman"/>
          <w:sz w:val="24"/>
          <w:szCs w:val="24"/>
        </w:rPr>
        <w:t>immunohistochemical</w:t>
      </w:r>
      <w:proofErr w:type="spellEnd"/>
      <w:r w:rsidRPr="000C6C02">
        <w:rPr>
          <w:rFonts w:ascii="Times New Roman" w:eastAsia="Times New Roman" w:hAnsi="Times New Roman" w:cs="Times New Roman"/>
          <w:sz w:val="24"/>
          <w:szCs w:val="24"/>
        </w:rPr>
        <w:t xml:space="preserve"> analyses demonstrated hyaline-like cartilage regeneration in the transplanted sites particularly in Group 1. In contrast, tissues in Groups 2 and 3 demonstrated mainly fibrocartilage. The highest ICRS and O'Driscoll scorings was also observed in Group 1, while the lowest score was seen in Group 3. Similarly, the total GAG/total protein as well as </w:t>
      </w:r>
      <w:proofErr w:type="spellStart"/>
      <w:r w:rsidRPr="000C6C02">
        <w:rPr>
          <w:rFonts w:ascii="Times New Roman" w:eastAsia="Times New Roman" w:hAnsi="Times New Roman" w:cs="Times New Roman"/>
          <w:sz w:val="24"/>
          <w:szCs w:val="24"/>
        </w:rPr>
        <w:t>chondrogenic</w:t>
      </w:r>
      <w:proofErr w:type="spellEnd"/>
      <w:r w:rsidRPr="000C6C02">
        <w:rPr>
          <w:rFonts w:ascii="Times New Roman" w:eastAsia="Times New Roman" w:hAnsi="Times New Roman" w:cs="Times New Roman"/>
          <w:sz w:val="24"/>
          <w:szCs w:val="24"/>
        </w:rPr>
        <w:t xml:space="preserve"> gene levels were expressed in the same </w:t>
      </w:r>
      <w:proofErr w:type="gramStart"/>
      <w:r w:rsidRPr="000C6C02">
        <w:rPr>
          <w:rFonts w:ascii="Times New Roman" w:eastAsia="Times New Roman" w:hAnsi="Times New Roman" w:cs="Times New Roman"/>
          <w:sz w:val="24"/>
          <w:szCs w:val="24"/>
        </w:rPr>
        <w:t>order, that</w:t>
      </w:r>
      <w:proofErr w:type="gramEnd"/>
      <w:r w:rsidRPr="000C6C02">
        <w:rPr>
          <w:rFonts w:ascii="Times New Roman" w:eastAsia="Times New Roman" w:hAnsi="Times New Roman" w:cs="Times New Roman"/>
          <w:sz w:val="24"/>
          <w:szCs w:val="24"/>
        </w:rPr>
        <w:t xml:space="preserve"> is highest in Group 1 while the lowest in Group three. Significant differences between these 3 groups were observed (P &lt;0.05). CONCLUSIONS: This study suggests that supplementing intra-articular injections of BM-MSCs following BMS knee surgery provides superior cartilage repair outcomes.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62"/>
        <w:gridCol w:w="8014"/>
      </w:tblGrid>
      <w:tr w:rsidR="000C6C02" w:rsidRPr="000C6C02" w:rsidTr="000C6C02">
        <w:trPr>
          <w:tblCellSpacing w:w="15" w:type="dxa"/>
        </w:trPr>
        <w:tc>
          <w:tcPr>
            <w:tcW w:w="0" w:type="auto"/>
          </w:tcPr>
          <w:p w:rsidR="000C6C02" w:rsidRPr="000C6C02" w:rsidRDefault="000C6C02" w:rsidP="000C6C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C6C02" w:rsidRPr="000C6C02" w:rsidRDefault="000C6C02" w:rsidP="000C6C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C02" w:rsidRPr="000C6C02" w:rsidTr="000C6C02">
        <w:trPr>
          <w:tblCellSpacing w:w="15" w:type="dxa"/>
        </w:trPr>
        <w:tc>
          <w:tcPr>
            <w:tcW w:w="0" w:type="auto"/>
            <w:hideMark/>
          </w:tcPr>
          <w:p w:rsidR="000C6C02" w:rsidRPr="000C6C02" w:rsidRDefault="000C6C02" w:rsidP="000C6C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Keyword:</w:t>
            </w:r>
          </w:p>
        </w:tc>
        <w:tc>
          <w:tcPr>
            <w:tcW w:w="0" w:type="auto"/>
            <w:hideMark/>
          </w:tcPr>
          <w:p w:rsidR="000C6C02" w:rsidRPr="000C6C02" w:rsidRDefault="000C6C02" w:rsidP="000C6C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C02">
              <w:rPr>
                <w:rFonts w:ascii="Times New Roman" w:eastAsia="Times New Roman" w:hAnsi="Times New Roman" w:cs="Times New Roman"/>
                <w:sz w:val="24"/>
                <w:szCs w:val="24"/>
              </w:rPr>
              <w:t>Intra-articular injection; Mesenchymal stromal cells; Damaged cartilage; Caprine model; Bone marrow stimulation techniques</w:t>
            </w:r>
          </w:p>
        </w:tc>
      </w:tr>
    </w:tbl>
    <w:p w:rsidR="009403D9" w:rsidRPr="000C6C02" w:rsidRDefault="009403D9">
      <w:pPr>
        <w:rPr>
          <w:sz w:val="24"/>
          <w:szCs w:val="24"/>
        </w:rPr>
      </w:pPr>
    </w:p>
    <w:sectPr w:rsidR="009403D9" w:rsidRPr="000C6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02"/>
    <w:rsid w:val="000C6C02"/>
    <w:rsid w:val="0094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upm</dc:creator>
  <cp:lastModifiedBy>upm</cp:lastModifiedBy>
  <cp:revision>1</cp:revision>
  <cp:lastPrinted>2015-09-10T23:29:00Z</cp:lastPrinted>
  <dcterms:created xsi:type="dcterms:W3CDTF">2015-09-10T23:26:00Z</dcterms:created>
  <dcterms:modified xsi:type="dcterms:W3CDTF">2015-09-10T23:30:00Z</dcterms:modified>
</cp:coreProperties>
</file>